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Техническое задание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</w:r>
    </w:p>
    <w:p>
      <w:pPr>
        <w:ind w:right="108"/>
        <w:jc w:val="center"/>
        <w:keepLines/>
        <w:keepNext/>
        <w:rPr>
          <w:rFonts w:ascii="Times New Roman" w:hAnsi="Times New Roman" w:eastAsia="Montserrat"/>
          <w:b/>
          <w:sz w:val="24"/>
          <w:szCs w:val="24"/>
        </w:rPr>
        <w:outlineLvl w:val="0"/>
      </w:pPr>
      <w:r>
        <w:rPr>
          <w:rFonts w:ascii="Times New Roman" w:hAnsi="Times New Roman" w:eastAsia="Montserrat"/>
          <w:b/>
          <w:sz w:val="24"/>
          <w:szCs w:val="24"/>
        </w:rPr>
        <w:t xml:space="preserve">на оказание комплекса услуг по размещению и продвижению товаров московских экспортеров на международных электронных </w:t>
      </w:r>
      <w:r>
        <w:rPr>
          <w:rFonts w:ascii="Times New Roman" w:hAnsi="Times New Roman" w:eastAsia="Montserrat"/>
          <w:b/>
          <w:sz w:val="24"/>
          <w:szCs w:val="24"/>
        </w:rPr>
      </w:r>
    </w:p>
    <w:p>
      <w:pPr>
        <w:ind w:right="108"/>
        <w:jc w:val="center"/>
        <w:keepLines/>
        <w:keepNext/>
        <w:rPr>
          <w:rFonts w:ascii="Times New Roman" w:hAnsi="Times New Roman"/>
          <w:b/>
          <w:bCs/>
          <w:sz w:val="24"/>
          <w:szCs w:val="24"/>
          <w:lang w:val="en-US"/>
        </w:rPr>
        <w:outlineLvl w:val="0"/>
      </w:pPr>
      <w:r>
        <w:rPr>
          <w:rFonts w:ascii="Times New Roman" w:hAnsi="Times New Roman" w:eastAsia="Montserrat"/>
          <w:b/>
          <w:sz w:val="24"/>
          <w:szCs w:val="24"/>
        </w:rPr>
        <w:t xml:space="preserve">торговых</w:t>
      </w:r>
      <w:r>
        <w:rPr>
          <w:rFonts w:ascii="Times New Roman" w:hAnsi="Times New Roman" w:eastAsia="Montserrat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Montserrat"/>
          <w:b/>
          <w:sz w:val="24"/>
          <w:szCs w:val="24"/>
        </w:rPr>
        <w:t xml:space="preserve">площадках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(</w:t>
      </w:r>
      <w:r>
        <w:rPr>
          <w:rFonts w:ascii="Times New Roman" w:hAnsi="Times New Roman" w:eastAsia="Montserrat"/>
          <w:b/>
          <w:sz w:val="24"/>
          <w:szCs w:val="24"/>
          <w:lang w:val="en-US"/>
        </w:rPr>
        <w:t xml:space="preserve">Industrystock, Ecasb, Globaltradeplaza)</w:t>
      </w:r>
      <w:r>
        <w:rPr>
          <w:rFonts w:ascii="Times New Roman" w:hAnsi="Times New Roman"/>
          <w:b/>
          <w:bCs/>
          <w:sz w:val="24"/>
          <w:szCs w:val="24"/>
          <w:lang w:val="en-US"/>
        </w:rPr>
      </w:r>
    </w:p>
    <w:p>
      <w:pPr>
        <w:contextualSpacing/>
        <w:ind w:left="1110"/>
        <w:tabs>
          <w:tab w:val="left" w:pos="1817" w:leader="none"/>
        </w:tabs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contextualSpacing/>
        <w:ind w:firstLine="709"/>
        <w:tabs>
          <w:tab w:val="left" w:pos="1276" w:leader="none"/>
        </w:tabs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numPr>
          <w:ilvl w:val="0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Общая информация.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Montserrat"/>
          <w:b/>
          <w:bCs/>
          <w:sz w:val="24"/>
          <w:szCs w:val="24"/>
        </w:rPr>
        <w:t xml:space="preserve">Объект закупки:</w:t>
      </w:r>
      <w:r>
        <w:rPr>
          <w:rFonts w:ascii="Times New Roman" w:hAnsi="Times New Roman" w:eastAsia="Montserrat"/>
          <w:sz w:val="24"/>
          <w:szCs w:val="24"/>
        </w:rPr>
        <w:t xml:space="preserve"> оказание комплекса услуг по размещению и продвижению товаров московских экспортеров на международных электронных торговых площадках (</w:t>
      </w:r>
      <w:r>
        <w:rPr>
          <w:rFonts w:ascii="Times New Roman" w:hAnsi="Times New Roman" w:eastAsia="Montserrat"/>
          <w:sz w:val="24"/>
          <w:szCs w:val="24"/>
          <w:lang w:val="en-US"/>
        </w:rPr>
        <w:t xml:space="preserve">I</w:t>
      </w:r>
      <w:r>
        <w:rPr>
          <w:rFonts w:ascii="Times New Roman" w:hAnsi="Times New Roman" w:eastAsia="Montserrat"/>
          <w:sz w:val="24"/>
          <w:szCs w:val="24"/>
        </w:rPr>
        <w:t xml:space="preserve">ndustry</w:t>
      </w:r>
      <w:r>
        <w:rPr>
          <w:rFonts w:ascii="Times New Roman" w:hAnsi="Times New Roman" w:eastAsia="Montserrat"/>
          <w:sz w:val="24"/>
          <w:szCs w:val="24"/>
          <w:lang w:val="en-US"/>
        </w:rPr>
        <w:t xml:space="preserve">s</w:t>
      </w:r>
      <w:r>
        <w:rPr>
          <w:rFonts w:ascii="Times New Roman" w:hAnsi="Times New Roman" w:eastAsia="Montserrat"/>
          <w:sz w:val="24"/>
          <w:szCs w:val="24"/>
        </w:rPr>
        <w:t xml:space="preserve">tock, </w:t>
      </w:r>
      <w:r>
        <w:rPr>
          <w:rFonts w:ascii="Times New Roman" w:hAnsi="Times New Roman" w:eastAsia="Montserrat"/>
          <w:sz w:val="24"/>
          <w:szCs w:val="24"/>
          <w:lang w:val="en-US"/>
        </w:rPr>
        <w:t xml:space="preserve">Ecasb</w:t>
      </w:r>
      <w:r>
        <w:rPr>
          <w:rFonts w:ascii="Times New Roman" w:hAnsi="Times New Roman" w:eastAsia="Montserrat"/>
          <w:sz w:val="24"/>
          <w:szCs w:val="24"/>
        </w:rPr>
        <w:t xml:space="preserve">, </w:t>
      </w:r>
      <w:r>
        <w:rPr>
          <w:rFonts w:ascii="Times New Roman" w:hAnsi="Times New Roman" w:eastAsia="Montserrat"/>
          <w:sz w:val="24"/>
          <w:szCs w:val="24"/>
          <w:lang w:val="en-US"/>
        </w:rPr>
        <w:t xml:space="preserve">Globaltradeplaza</w:t>
      </w:r>
      <w:r>
        <w:rPr>
          <w:rFonts w:ascii="Times New Roman" w:hAnsi="Times New Roman" w:eastAsia="Montserrat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Montserrat"/>
          <w:b/>
          <w:bCs/>
          <w:sz w:val="24"/>
          <w:szCs w:val="24"/>
        </w:rPr>
        <w:t xml:space="preserve">Место оказания услуг</w:t>
      </w:r>
      <w:r>
        <w:rPr>
          <w:rFonts w:ascii="Times New Roman" w:hAnsi="Times New Roman" w:eastAsia="Montserrat"/>
          <w:b/>
          <w:bCs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eastAsia="Montserrat"/>
          <w:color w:val="000000" w:themeColor="text1"/>
          <w:sz w:val="24"/>
          <w:szCs w:val="24"/>
        </w:rPr>
        <w:t xml:space="preserve">Российская федерация/КНР/Иран/Индия.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Montserrat"/>
          <w:b/>
          <w:bCs/>
          <w:color w:val="000000" w:themeColor="text1"/>
          <w:sz w:val="24"/>
          <w:szCs w:val="24"/>
        </w:rPr>
        <w:t xml:space="preserve">Объём услуг: </w:t>
      </w:r>
      <w:r>
        <w:rPr>
          <w:rFonts w:ascii="Times New Roman" w:hAnsi="Times New Roman" w:eastAsia="Montserrat"/>
          <w:color w:val="000000" w:themeColor="text1"/>
          <w:sz w:val="24"/>
          <w:szCs w:val="24"/>
        </w:rPr>
        <w:t xml:space="preserve">согласно п 3. настоящего Технического задания для Получателей услуг, в количестве не менее, чем указано в Приложении №1 к настоящему Техническому заданию.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Montserrat"/>
          <w:b/>
          <w:bCs/>
          <w:color w:val="000000" w:themeColor="text1"/>
          <w:sz w:val="24"/>
          <w:szCs w:val="24"/>
        </w:rPr>
        <w:t xml:space="preserve">Срок</w:t>
      </w:r>
      <w:r>
        <w:rPr>
          <w:rFonts w:ascii="Times New Roman" w:hAnsi="Times New Roman" w:eastAsia="Montserrat"/>
          <w:b/>
          <w:bCs/>
          <w:sz w:val="24"/>
          <w:szCs w:val="24"/>
        </w:rPr>
        <w:t xml:space="preserve"> оказания услуг:</w:t>
      </w:r>
      <w:r>
        <w:rPr>
          <w:rFonts w:ascii="Times New Roman" w:hAnsi="Times New Roman"/>
          <w:sz w:val="24"/>
          <w:szCs w:val="24"/>
        </w:rPr>
      </w:r>
    </w:p>
    <w:p>
      <w:pPr>
        <w:ind w:left="709" w:right="-24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bookmarkStart w:id="0" w:name="_GoBack"/>
      <w:r/>
      <w:bookmarkEnd w:id="0"/>
      <w:r/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Общие термины и</w:t>
      </w:r>
      <w:r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определения.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Площадка/ Площадки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–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международные электронные торговые площадки Industry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tock,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Globaltradeplaza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Аккаунт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– учетная запись/ п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ерсональная страница/ профиль компании Получателя услуги на отдельном поддомене Площадки, содержащий набор текстовой и графической информации о Продукции в соответствии с правилами, устанавливаемыми Площадкой, а также контактными данными Получателя услуги.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Карточка</w:t>
      </w:r>
      <w:r>
        <w:rPr>
          <w:rFonts w:ascii="Times New Roman" w:hAnsi="Times New Roman"/>
          <w:b/>
          <w:bCs/>
          <w:sz w:val="24"/>
          <w:szCs w:val="24"/>
        </w:rPr>
        <w:t xml:space="preserve"> товара </w:t>
      </w:r>
      <w:r>
        <w:rPr>
          <w:rFonts w:ascii="Times New Roman" w:hAnsi="Times New Roman"/>
          <w:sz w:val="24"/>
          <w:szCs w:val="24"/>
        </w:rPr>
        <w:t xml:space="preserve">– отдельная страница товара на Площадке, содержащая набор текстовой и графической информации для каждой единицы Продукции, в соответствии с правилами, устанавливаемыми Площадкой.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Центр</w:t>
      </w:r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заказчик услуг, Автономная некоммерческая организация «Московский экспортный центр».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Оператор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– юридическое лицо или индивидуальный предприниматель, </w:t>
      </w:r>
      <w:r>
        <w:rPr>
          <w:rFonts w:ascii="Times New Roman" w:hAnsi="Times New Roman"/>
          <w:sz w:val="24"/>
          <w:szCs w:val="24"/>
        </w:rPr>
        <w:t xml:space="preserve">являющееся (-</w:t>
      </w:r>
      <w:r>
        <w:rPr>
          <w:rFonts w:ascii="Times New Roman" w:hAnsi="Times New Roman"/>
          <w:sz w:val="24"/>
          <w:szCs w:val="24"/>
        </w:rPr>
        <w:t xml:space="preserve">ийся</w:t>
      </w:r>
      <w:r>
        <w:rPr>
          <w:rFonts w:ascii="Times New Roman" w:hAnsi="Times New Roman"/>
          <w:sz w:val="24"/>
          <w:szCs w:val="24"/>
        </w:rPr>
        <w:t xml:space="preserve">) авторизованным представителем международных электронных торговых площадок </w:t>
      </w:r>
      <w:r>
        <w:rPr>
          <w:rFonts w:ascii="Times New Roman" w:hAnsi="Times New Roman"/>
          <w:sz w:val="24"/>
          <w:szCs w:val="24"/>
          <w:lang w:val="en-US"/>
        </w:rPr>
        <w:t xml:space="preserve">I</w:t>
      </w:r>
      <w:r>
        <w:rPr>
          <w:rFonts w:ascii="Times New Roman" w:hAnsi="Times New Roman"/>
          <w:sz w:val="24"/>
          <w:szCs w:val="24"/>
        </w:rPr>
        <w:t xml:space="preserve">ndustry</w:t>
      </w:r>
      <w:r>
        <w:rPr>
          <w:rFonts w:ascii="Times New Roman" w:hAnsi="Times New Roman"/>
          <w:sz w:val="24"/>
          <w:szCs w:val="24"/>
          <w:lang w:val="en-US"/>
        </w:rPr>
        <w:t xml:space="preserve">s</w:t>
      </w:r>
      <w:r>
        <w:rPr>
          <w:rFonts w:ascii="Times New Roman" w:hAnsi="Times New Roman"/>
          <w:sz w:val="24"/>
          <w:szCs w:val="24"/>
        </w:rPr>
        <w:t xml:space="preserve">tock </w:t>
      </w:r>
      <w:r>
        <w:rPr>
          <w:rFonts w:ascii="Times New Roman" w:hAnsi="Times New Roman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Globaltradeplaza</w:t>
      </w:r>
      <w:r>
        <w:rPr>
          <w:rFonts w:ascii="Times New Roman" w:hAnsi="Times New Roman"/>
          <w:sz w:val="24"/>
          <w:szCs w:val="24"/>
        </w:rPr>
        <w:t xml:space="preserve"> и заключивший с Центром договор на оказание соответствующих услуг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Получатель услуги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– юридическое лицо или индивидуальный предприниматель, для которого Оператор оказывает услуги по продвижению Продукции на Площадке.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Покупатель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юридическое лицо или индивидуальный предприниматель (или аналогичные по своему правовому статусу лица в соответствии с действующим законодательством Целевой страны) в Целевых странах, являющийся приобретателем </w:t>
      </w:r>
      <w:r>
        <w:rPr>
          <w:rFonts w:ascii="Times New Roman" w:hAnsi="Times New Roman"/>
          <w:sz w:val="24"/>
          <w:szCs w:val="24"/>
        </w:rPr>
        <w:t xml:space="preserve">Продукции Получателя услуги.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Верификация -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процесс проверки Оператором подлинности данных (контактной информации о компании, ИНН, ОГРН и т.д.), предоставленных Получателем услуги. 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Продукция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– товар (один или несколько) Получателя услуги, размещаемый на Площадке.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Материалы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информация, ссылки, видеоматериалы и документы, служащие основой для заполнения Аккаунта и Карточек товаров Получателя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услуги.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Информационная</w:t>
      </w:r>
      <w:r>
        <w:rPr>
          <w:rFonts w:ascii="Times New Roman" w:hAnsi="Times New Roman"/>
          <w:b/>
          <w:bCs/>
          <w:sz w:val="24"/>
          <w:szCs w:val="24"/>
        </w:rPr>
        <w:t xml:space="preserve"> справка </w:t>
      </w:r>
      <w:r>
        <w:rPr>
          <w:rFonts w:ascii="Times New Roman" w:hAnsi="Times New Roman"/>
          <w:sz w:val="24"/>
          <w:szCs w:val="24"/>
        </w:rPr>
        <w:t xml:space="preserve">– справка об экспертной оценке Получателя услуги, содержащая реквизиты компании, краткое описание продукции, экспер</w:t>
      </w:r>
      <w:r>
        <w:rPr>
          <w:rFonts w:ascii="Times New Roman" w:hAnsi="Times New Roman"/>
          <w:sz w:val="24"/>
          <w:szCs w:val="24"/>
        </w:rPr>
        <w:t xml:space="preserve">тное резюме о товаре на целевом рынке, включая информацию о востребованности аналогичной продукции на Площадке, количестве запросов (поиске) продукции схожей с продукцией Получателя услуги и географическом распределении Покупателей по товарным категориям. 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Newsletter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специальный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инструмент Площадки </w:t>
      </w:r>
      <w:r>
        <w:rPr>
          <w:rFonts w:ascii="Times New Roman" w:hAnsi="Times New Roman"/>
          <w:sz w:val="24"/>
          <w:szCs w:val="24"/>
          <w:lang w:val="en-US"/>
        </w:rPr>
        <w:t xml:space="preserve">Industrystock</w:t>
      </w:r>
      <w:r>
        <w:rPr>
          <w:rFonts w:ascii="Times New Roman" w:hAnsi="Times New Roman"/>
          <w:sz w:val="24"/>
          <w:szCs w:val="24"/>
        </w:rPr>
        <w:t xml:space="preserve">, позволяющий оповещать потенциальных Покупателей о различных новостях коммерческого характера (скидки, открытия новых представительств и т.д.).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Стикеровка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обязательная процедура при импорте в целевую страну, при которой на оборотную сторону Продукции наклеивается стикер с информацией о Продукции на языке целевой страны.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Эскроу-счет</w:t>
      </w:r>
      <w:r>
        <w:rPr>
          <w:rFonts w:ascii="Times New Roman" w:hAnsi="Times New Roman"/>
          <w:sz w:val="24"/>
          <w:szCs w:val="24"/>
        </w:rPr>
        <w:t xml:space="preserve"> - специальный счет в банке, на котором денежные средства хранятся до выполнения определенных обязательств.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Бизнес-сайт </w:t>
      </w:r>
      <w:r>
        <w:rPr>
          <w:rFonts w:ascii="Times New Roman" w:hAnsi="Times New Roman"/>
          <w:sz w:val="24"/>
          <w:szCs w:val="24"/>
        </w:rPr>
        <w:t xml:space="preserve">– эксклюзивный сайт, позволяющий привлечь больше Покупателей.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Лид</w:t>
      </w:r>
      <w:r>
        <w:rPr>
          <w:rFonts w:ascii="Times New Roman" w:hAnsi="Times New Roman"/>
          <w:sz w:val="24"/>
          <w:szCs w:val="24"/>
        </w:rPr>
        <w:t xml:space="preserve"> –потенциальный Покупатель, тем или иным образом проявивший интерес к Продукции Получателя услуги.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Google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Мой бизнес -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инструмент, позволяющий управлять информацией об организациях и бизнесе в сервисах Google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Trade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 xml:space="preserve">Intelligence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услуга по торговой аналитике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экспорта и импорта различных стран за последние 15 лет.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Door-to-door – </w:t>
      </w:r>
      <w:r>
        <w:rPr>
          <w:rFonts w:ascii="Times New Roman" w:hAnsi="Times New Roman"/>
          <w:sz w:val="24"/>
          <w:szCs w:val="24"/>
        </w:rPr>
        <w:t xml:space="preserve">доставка от двери до двери.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Целевая страна</w:t>
      </w:r>
      <w:r>
        <w:rPr>
          <w:rFonts w:ascii="Times New Roman" w:hAnsi="Times New Roman"/>
          <w:sz w:val="24"/>
          <w:szCs w:val="24"/>
        </w:rPr>
        <w:t xml:space="preserve"> – КНР/Иран/Индия или иное государство, не внесенное в Распоряжение Правительства Российской Федерации № 430-Р от 5 марта 2022 г.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Специальная страница каталога - </w:t>
      </w:r>
      <w:r>
        <w:rPr>
          <w:rFonts w:ascii="Times New Roman" w:hAnsi="Times New Roman"/>
          <w:sz w:val="24"/>
          <w:szCs w:val="24"/>
        </w:rPr>
        <w:t xml:space="preserve">цифровой формат каталога для представления онлайн-контента в виде интерактивных документов с эффектом перелистывания страниц.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Функция «Живой чат» - </w:t>
      </w:r>
      <w:r>
        <w:rPr>
          <w:rFonts w:ascii="Times New Roman" w:hAnsi="Times New Roman"/>
          <w:sz w:val="24"/>
          <w:szCs w:val="24"/>
        </w:rPr>
        <w:t xml:space="preserve">форма диалогового окна для обмена сообщениями, используемая предприятиями для создания прямой линии связи со своей целевой аудиторией. 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Листинг – </w:t>
      </w:r>
      <w:r>
        <w:rPr>
          <w:rFonts w:ascii="Times New Roman" w:hAnsi="Times New Roman"/>
          <w:sz w:val="24"/>
          <w:szCs w:val="24"/>
        </w:rPr>
        <w:t xml:space="preserve">онлайн-идентификатор, который позволяет представить наиболее важную информацию о юридическом лице в поиске </w:t>
      </w:r>
      <w:r>
        <w:rPr>
          <w:rFonts w:ascii="Times New Roman" w:hAnsi="Times New Roman"/>
          <w:sz w:val="24"/>
          <w:szCs w:val="24"/>
          <w:lang w:val="en-US"/>
        </w:rPr>
        <w:t xml:space="preserve">Google</w:t>
      </w:r>
      <w:r>
        <w:rPr>
          <w:rFonts w:ascii="Times New Roman" w:hAnsi="Times New Roman"/>
          <w:sz w:val="24"/>
          <w:szCs w:val="24"/>
        </w:rPr>
        <w:t xml:space="preserve"> Мой бизнес.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ХАССП - </w:t>
      </w:r>
      <w:r>
        <w:rPr>
          <w:rFonts w:ascii="Times New Roman" w:hAnsi="Times New Roman"/>
          <w:sz w:val="24"/>
          <w:szCs w:val="24"/>
        </w:rPr>
        <w:t xml:space="preserve">система обеспечения безопасности при производстве продуктов и оказания услуг общественного питания. </w:t>
      </w:r>
      <w:r>
        <w:rPr>
          <w:rFonts w:ascii="Times New Roman" w:hAnsi="Times New Roman"/>
          <w:sz w:val="24"/>
          <w:szCs w:val="24"/>
          <w:highlight w:val="yellow"/>
        </w:rPr>
      </w:r>
    </w:p>
    <w:p>
      <w:pPr>
        <w:ind w:firstLine="709"/>
        <w:jc w:val="both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News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Center</w:t>
      </w:r>
      <w:r>
        <w:rPr>
          <w:rFonts w:ascii="Times New Roman" w:hAnsi="Times New Roman"/>
          <w:sz w:val="24"/>
          <w:szCs w:val="24"/>
        </w:rPr>
        <w:t xml:space="preserve"> – инструмент на личном аккаунте компании, где возможна публикация значимых новостей о компании.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Цель оказываемых услуг - </w:t>
      </w:r>
      <w:r>
        <w:rPr>
          <w:rFonts w:ascii="Times New Roman" w:hAnsi="Times New Roman"/>
          <w:sz w:val="24"/>
          <w:szCs w:val="24"/>
        </w:rPr>
        <w:t xml:space="preserve">увеличение онлайн продаж и заключение экспортных контрактов с Получателями услуг через международные торговые площадки, обеспечивающие осуществление экспортных продаж в формате B2B.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tabs>
          <w:tab w:val="left" w:pos="1276" w:leader="none"/>
          <w:tab w:val="left" w:pos="167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tabs>
          <w:tab w:val="left" w:pos="1276" w:leader="none"/>
          <w:tab w:val="left" w:pos="167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Перечень оказываемых услуг.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755"/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Подбор Получателей услуги;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Оплата и подключение пакетов услуг;</w:t>
      </w:r>
      <w:r>
        <w:rPr>
          <w:rFonts w:ascii="Times New Roman" w:hAnsi="Times New Roman"/>
          <w:sz w:val="24"/>
          <w:szCs w:val="24"/>
        </w:rPr>
      </w:r>
    </w:p>
    <w:p>
      <w:pPr>
        <w:pStyle w:val="755"/>
        <w:ind w:left="0"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Заполнение Аккаунта и Карточек товаров; </w:t>
      </w:r>
      <w:r>
        <w:rPr>
          <w:rFonts w:ascii="Times New Roman" w:hAnsi="Times New Roman"/>
          <w:sz w:val="24"/>
          <w:szCs w:val="24"/>
        </w:rPr>
      </w:r>
    </w:p>
    <w:p>
      <w:pPr>
        <w:pStyle w:val="755"/>
        <w:ind w:left="0"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Маркетинговое сопровождение; 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Оказание дополнительных услуг.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tabs>
          <w:tab w:val="left" w:pos="1276" w:leader="none"/>
          <w:tab w:val="left" w:pos="167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sz w:val="24"/>
          <w:szCs w:val="24"/>
        </w:rPr>
        <w:t xml:space="preserve">Основное содержание услуг.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"/>
          <w:b/>
          <w:bCs/>
          <w:sz w:val="24"/>
          <w:szCs w:val="24"/>
          <w:lang w:eastAsia="zh-CN"/>
        </w:rPr>
        <w:t xml:space="preserve">Подбор Получателей услуги.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Оператор осуществляет консультирование Получателей услуги, в том числе: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right="84" w:firstLine="709"/>
        <w:jc w:val="both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первичное консультирование Получателей услуг о возможностях площадок Industrystock, Ecasb, Globaltradeplaza любым удобным для Получателя услуги способом, посредством интернет-связи или при личной встрече; 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right="84" w:firstLine="709"/>
        <w:jc w:val="both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консультирование Получателей услуг по вопросу необходимой сертификации;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right="84" w:firstLine="709"/>
        <w:jc w:val="both"/>
        <w:widowControl w:val="off"/>
        <w:tabs>
          <w:tab w:val="left" w:pos="1276" w:leader="none"/>
        </w:tabs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- консультирование Получателей услуг по вопросам расходов при экспорте продукции.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trike/>
          <w:sz w:val="24"/>
          <w:szCs w:val="24"/>
        </w:rPr>
      </w:r>
      <w:r>
        <w:rPr>
          <w:rFonts w:ascii="Times New Roman" w:hAnsi="Times New Roman"/>
          <w:strike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Оплата</w:t>
      </w:r>
      <w:r>
        <w:rPr>
          <w:rFonts w:ascii="Times New Roman" w:hAnsi="Times New Roman"/>
          <w:b/>
          <w:bCs/>
          <w:sz w:val="24"/>
          <w:szCs w:val="24"/>
        </w:rPr>
        <w:t xml:space="preserve"> и подключение пакетов услуг.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оказывает услуги по оплате в адрес компании «</w:t>
      </w:r>
      <w:r>
        <w:rPr>
          <w:rFonts w:ascii="Times New Roman" w:hAnsi="Times New Roman"/>
          <w:sz w:val="24"/>
          <w:szCs w:val="24"/>
          <w:lang w:val="en-US"/>
        </w:rPr>
        <w:t xml:space="preserve">Industrystock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Network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Technology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 xml:space="preserve">Wuhan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 xml:space="preserve">Co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Ltd</w:t>
      </w:r>
      <w:r>
        <w:rPr>
          <w:rFonts w:ascii="Times New Roman" w:hAnsi="Times New Roman"/>
          <w:sz w:val="24"/>
          <w:szCs w:val="24"/>
        </w:rPr>
        <w:t xml:space="preserve"> и подключению пакета «Аккаунт на год»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Industrystock</w:t>
      </w:r>
      <w:r>
        <w:rPr>
          <w:rFonts w:ascii="Times New Roman" w:hAnsi="Times New Roman"/>
          <w:sz w:val="24"/>
          <w:szCs w:val="24"/>
        </w:rPr>
        <w:t xml:space="preserve"> для 36 (тридцати шести) Получателей услуги </w:t>
      </w:r>
      <w:r>
        <w:rPr>
          <w:rFonts w:ascii="Times New Roman" w:hAnsi="Times New Roman"/>
          <w:b/>
          <w:bCs/>
          <w:sz w:val="24"/>
          <w:szCs w:val="24"/>
        </w:rPr>
        <w:t xml:space="preserve">сроком на 1 (Один) календарный год. 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Пакет «Аккаунт на год» включает в себя следующие опции: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представление Получателей услуги на 4 языках (английский, китайский (упрощенный), арабский, турецкий);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внесение до 100 ключевых слов к Аккаунту;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размещение до 1 000 000 товаров Получателей услуг;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загрузка до 1 000 изображений;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загрузка до 1 000 000 видеофайлов;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загрузка до 1 000 PDF-файлов.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возможность использования инструмента Newsletter.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оказывает услуги по оплате в адрес Компании «</w:t>
      </w:r>
      <w:r>
        <w:rPr>
          <w:rFonts w:ascii="Times New Roman" w:hAnsi="Times New Roman"/>
          <w:sz w:val="24"/>
          <w:szCs w:val="24"/>
        </w:rPr>
        <w:t xml:space="preserve">Blue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Paper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Business</w:t>
      </w:r>
      <w:r>
        <w:rPr>
          <w:rFonts w:ascii="Times New Roman" w:hAnsi="Times New Roman"/>
          <w:sz w:val="24"/>
          <w:szCs w:val="24"/>
        </w:rPr>
        <w:t xml:space="preserve"> Co» и подключению пакета «Золото»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sz w:val="24"/>
          <w:szCs w:val="24"/>
        </w:rPr>
        <w:t xml:space="preserve"> для 19 (девятнадцати) Получателей услуги </w:t>
      </w:r>
      <w:r>
        <w:rPr>
          <w:rFonts w:ascii="Times New Roman" w:hAnsi="Times New Roman"/>
          <w:b/>
          <w:bCs/>
          <w:sz w:val="24"/>
          <w:szCs w:val="24"/>
        </w:rPr>
        <w:t xml:space="preserve">сроком на 1 (Один) календарный год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Пакет «Золото» включает в себя следующие опции: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представление Получателей услуги на 2 языках (английском, персидском), в том числе: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название компании Получателя услуги;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регистрационные данные;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деятельность компании Получателя услуги;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контакты (телефоны, электронная почта, сайт);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ключевые слова (относящиеся к компании Получателя услуги);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 загрузка каталогов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видео, сертификатов и других документов.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размещение неограниченного количества Продукции на 2 языках с полной информацией о Продукции;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использование эскроу-счета для получения и выплаты денег (сервис действует для резидентов Исламской Республики Иран);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получение сертификата о подтверждении статуса доверенного члена Ecasb;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получение ценовых запросов без ограничений;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отображение названия компании Получателя услуги и Продукции в верхних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строчках поисковых запросов Площадки Ecasb;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маркетинговое продвижение в социальных сетях площадки Ecasb;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новостная рассылка о Продукции другим участникам Площадки;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размещение информации о Получателе услуги в журнале Ecasb на персидском языке;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продвижение Продукции Получателя услуги через домашнюю страницу </w:t>
      </w:r>
      <w:r>
        <w:rPr>
          <w:rFonts w:ascii="Times New Roman" w:hAnsi="Times New Roman"/>
          <w:sz w:val="24"/>
          <w:szCs w:val="24"/>
        </w:rPr>
        <w:t xml:space="preserve">площадки </w:t>
      </w:r>
      <w:r>
        <w:rPr>
          <w:rFonts w:ascii="Times New Roman" w:hAnsi="Times New Roman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оказывает услуги по оплате в адрес Компании «</w:t>
      </w:r>
      <w:r>
        <w:rPr>
          <w:rFonts w:ascii="Times New Roman" w:hAnsi="Times New Roman"/>
          <w:sz w:val="24"/>
          <w:szCs w:val="24"/>
          <w:lang w:val="en-US"/>
        </w:rPr>
        <w:t xml:space="preserve">Wexiby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Technolog</w:t>
      </w:r>
      <w:r>
        <w:rPr>
          <w:rFonts w:ascii="Times New Roman" w:hAnsi="Times New Roman"/>
          <w:sz w:val="24"/>
          <w:szCs w:val="24"/>
          <w:lang w:val="en-US"/>
        </w:rPr>
        <w:t xml:space="preserve">ies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Private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Limited</w:t>
      </w:r>
      <w:r>
        <w:rPr>
          <w:rFonts w:ascii="Times New Roman" w:hAnsi="Times New Roman"/>
          <w:sz w:val="24"/>
          <w:szCs w:val="24"/>
        </w:rPr>
        <w:t xml:space="preserve">» и подключению пакета услуг «Стандартный»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Globaltradeplaza</w:t>
      </w:r>
      <w:r>
        <w:rPr>
          <w:rFonts w:ascii="Times New Roman" w:hAnsi="Times New Roman"/>
          <w:sz w:val="24"/>
          <w:szCs w:val="24"/>
        </w:rPr>
        <w:t xml:space="preserve"> для 16 (шестнадцати) Получателей услуги </w:t>
      </w:r>
      <w:r>
        <w:rPr>
          <w:rFonts w:ascii="Times New Roman" w:hAnsi="Times New Roman"/>
          <w:b/>
          <w:bCs/>
          <w:sz w:val="24"/>
          <w:szCs w:val="24"/>
        </w:rPr>
        <w:t xml:space="preserve">сроком на 1 (Один) календарный год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Пакет «Стандартный» включает в себя следующие опции: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размещение до 50 товаров Получателей услуг;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размещение до 50 товаров Получателей услуг в приоритетных объявлениях;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240 проверенных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лидов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отдельной и специальной страницы каталога;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создание бизнес-сайта компании Получателя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домена и хостинга для бизнес-сайта;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разработка бизнес-сайта для мобильных устройств (с платформами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Android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Windows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Phone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Symbian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iOS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);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функции «Живой чат» на бизнес- сайте;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выделенного менеджера по работе с каждым Получателем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маркетинговое продвижение в социальных сетях, а также через официальные сети Globaltradeplaza;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продвижение в поисковых системах Google 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Yahoo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информации о последних торговых выставках и выставках, организуемых в Целевых странах;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разработка и продвижение листингов с помощью Google Мой бизнес;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доступа к услуге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Trade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Intelligence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предоставление корпоративного адреса электронной почты.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2"/>
          <w:numId w:val="9"/>
        </w:numPr>
        <w:ind w:left="0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Оператор предоставляет Центру подтверждение оплаты и подключения пакетов услуг «</w:t>
      </w:r>
      <w:r>
        <w:rPr>
          <w:rFonts w:ascii="Times New Roman" w:hAnsi="Times New Roman"/>
          <w:sz w:val="24"/>
          <w:szCs w:val="24"/>
        </w:rPr>
        <w:t xml:space="preserve">Аккаунт на год»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Industrystock</w:t>
      </w:r>
      <w:r>
        <w:rPr>
          <w:rFonts w:ascii="Times New Roman" w:hAnsi="Times New Roman"/>
          <w:sz w:val="24"/>
          <w:szCs w:val="24"/>
        </w:rPr>
        <w:t xml:space="preserve">, «Золото»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sz w:val="24"/>
          <w:szCs w:val="24"/>
        </w:rPr>
        <w:t xml:space="preserve">, «Стандартный» на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Globaltradeplaza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 каждому Получателю услуги в формате PDF посредством направления на электронную почту.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Заполнение Аккаунта и Карточек товаров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осуществляет заполнение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Аккаунта компании каждого Получателя услуги на Площадках на основании предоставленных Получателем услуги материалов, включая: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перевод контактной информации с описанием сферы деятельности, информации о количестве сотрудников, перечня производимой Продукции: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Industrystock: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английский, китайский (упрощенный), арабский, турецкий языки, не менее 144 (ста сорока четырёх) страниц формата А4 по 1800 знаков, не менее 1 страницы для каждого языка на одного Получателя услуги.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Ecasb: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 и персидский языки, не менее 38 (тридцати восьми) страниц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формата А4 по 1800 знаков, не менее 1 страницы для каждого языка на одного Получателя услуги.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Globaltradeplaza: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 язык, не менее 16 (шестнадцати) страниц формата А4 по 1800 знаков, не менее 1 страницы для каждого языка на одного Получателя услуги.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внесение контактной информации Получателя услуги, ссылки на сайт, описания деятельности (сфера деятельности, количество сотрудников, год создания);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указание контактов сотрудника Получателя услуги, ответственного за работу на Площадке; 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загрузка дипломов, наград, производственных сертификатов, в том числе сертификата ХАССП;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адаптация логотипа Получателя услуги для Площадки и его размещение в Аккаунте компании;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размещение логотипа программы «Сделано в Москве» («Made in Moscow»), предоставленного Центром, в Аккаунте компании;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привязка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не менее 20 ключевых слов для каждого Аккаунта для каждого Получателя услуги на площадках Industrystock, Ecasb, Globaltradeplaza, согласно деятельности компании.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подключает Аккаунты Получателей услуги к базам данных на площадка</w:t>
      </w:r>
      <w:r>
        <w:rPr>
          <w:rFonts w:ascii="Times New Roman" w:hAnsi="Times New Roman"/>
          <w:sz w:val="24"/>
          <w:szCs w:val="24"/>
        </w:rPr>
        <w:t xml:space="preserve">х Industrystock, Ecasb, Globaltradeplaza, включая, но не ограничиваясь, базы по лесной промышленности, здравоохранению, энергетике, IT, химической промышленности, текстилю, пищевой промышленности, не менее 3 (трех) баз данных для каждого Получателя услуги.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подключает инструмент </w:t>
      </w:r>
      <w:r>
        <w:rPr>
          <w:rFonts w:ascii="Times New Roman" w:hAnsi="Times New Roman"/>
          <w:sz w:val="24"/>
          <w:szCs w:val="24"/>
        </w:rPr>
        <w:t xml:space="preserve">News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Center</w:t>
      </w:r>
      <w:r>
        <w:rPr>
          <w:rFonts w:ascii="Times New Roman" w:hAnsi="Times New Roman"/>
          <w:sz w:val="24"/>
          <w:szCs w:val="24"/>
        </w:rPr>
        <w:t xml:space="preserve"> для публикации новостей о компании на площадке Industrystock с возможностью перевода на все иностранные языки, представленные на Площадке.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оказывает услуги по созданию и оформлению не менее 3 (трех) Карточек товаров для каждого Получателя услуги на каждом доменном имени Площадки согласно Приложению №1 настоящего Технического задания, включая: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перевод </w:t>
      </w:r>
      <w:r>
        <w:rPr>
          <w:rFonts w:ascii="Times New Roman" w:hAnsi="Times New Roman"/>
          <w:sz w:val="24"/>
          <w:szCs w:val="24"/>
        </w:rPr>
        <w:t xml:space="preserve">материалов о Продукции (описание продукции: материал изготовления, размеры, отличительные особенности, способ применения и т.д.), представленных Получателями услуги: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Industrystock: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английский, китайский (упрощенный), арабский, турецкий языки, не менее 144 (ста сорока четырёх) страниц А4 по 1800 знаков, не менее 1 страницы для каждого языка на одного Получателя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Ecasb: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 и персидский языки, не менее 38 (тридцати восьми) страниц формата А4 по 1800 знаков, не менее 1 страницы для каждого языка на одного Получателя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Для Площадки Globaltradeplaza: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ind w:left="0" w:firstLine="709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 русского на английский язык, не менее 16 (шестнадцати) страниц формата А4 по 1800 знаков, не менее 1 страницы для каждого языка на одного Получателя услуги.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заполнение названия товара;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добавление характеристик (размер, вес, состав, срок годности и т.д.) и текстового описания товара, включая подбор ключевых слов для поиска товара Получателя услуги на Площадке (не менее 3 (трех) ключевых слов для каждого товара);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обработку и загрузку фотографий, полученных от Получателя услуги (не менее 3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(трех) фотографий) для каждого товара;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размещение логотипа программы «Сделано в Москве» («Made in Moscow»), предоставленного Центром, на фотографии товара (не менее 1 (одного) логотипа для каждого товара;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0"/>
          <w:numId w:val="10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оптимизацию</w:t>
      </w:r>
      <w:r>
        <w:rPr>
          <w:rFonts w:ascii="Times New Roman" w:hAnsi="Times New Roman"/>
          <w:sz w:val="24"/>
          <w:szCs w:val="24"/>
        </w:rPr>
        <w:t xml:space="preserve"> и добавление видео о товаре, предоставленным Получателем услуги при наличии.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создает и оформляет именной домен и хостинг для каждого Получателя услуги (применительно к Площадке </w:t>
      </w:r>
      <w:r>
        <w:rPr>
          <w:rFonts w:ascii="Times New Roman" w:hAnsi="Times New Roman"/>
          <w:sz w:val="24"/>
          <w:szCs w:val="24"/>
          <w:lang w:val="en-US"/>
        </w:rPr>
        <w:t xml:space="preserve">Ecasb</w:t>
      </w:r>
      <w:r>
        <w:rPr>
          <w:rFonts w:ascii="Times New Roman" w:hAnsi="Times New Roman"/>
          <w:sz w:val="24"/>
          <w:szCs w:val="24"/>
        </w:rPr>
        <w:t xml:space="preserve">) с целью расширения присутствия и презентации компании на Иранском рынке.</w:t>
      </w:r>
      <w:r>
        <w:rPr>
          <w:rFonts w:ascii="Times New Roman" w:hAnsi="Times New Roman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color w:val="ff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ff0000"/>
          <w:sz w:val="24"/>
          <w:szCs w:val="24"/>
        </w:rPr>
      </w:r>
      <w:r>
        <w:rPr>
          <w:rFonts w:ascii="Times New Roman" w:hAnsi="Times New Roman"/>
          <w:color w:val="ff0000"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color w:val="ff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Маркетинговое сопровождение.</w:t>
      </w:r>
      <w:r>
        <w:rPr>
          <w:rFonts w:ascii="Times New Roman" w:hAnsi="Times New Roman"/>
          <w:b/>
          <w:bCs/>
          <w:color w:val="ff0000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Оператор оказывает услуги по маркетинговому сопровождению каждого Получателя услуги в рамках размещения Продукции на Площадках, включая: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Определение портрета потенциального Покупателя, составление рекомендаций по продвижению продукции в подобранных топ-3 странах;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</w:t>
      </w:r>
      <w:r>
        <w:rPr>
          <w:rFonts w:ascii="Times New Roman" w:hAnsi="Times New Roman"/>
          <w:sz w:val="24"/>
          <w:szCs w:val="24"/>
        </w:rPr>
        <w:t xml:space="preserve">дбор дополнительных перспективных стран, представленных </w:t>
      </w:r>
      <w:r>
        <w:rPr>
          <w:rFonts w:ascii="Times New Roman" w:hAnsi="Times New Roman"/>
          <w:sz w:val="24"/>
          <w:szCs w:val="24"/>
        </w:rPr>
        <w:t xml:space="preserve">на Площадках и не внесенных в Распоряжение Правительства Российской Федерации № 430-Р от 5 марта 2022 г., для увеличения продаж Продукции, с аргументацией и предоставлением фактических данных, а также формирование стратегии продаж со следующим содержанием: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оценка потенциального объема рынка;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информирование о сертификации, необходимой и желательной для соответствия товара рынку выбранной страны;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- определение конкурентной среды, консультации по вопросам налогообложения и валютному регулированию;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предварительное определение стоимости товара Получателя услуги, включая расходы на логистику, таможенное оформление, НДС и доставки до конечного Покупателя;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Выборку Оператором не менее 100 (ста) наиболее перспективных контактов потенциальных Покупателей, в том числе с использованием базы данных Площадки;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Обзвон не менее 100 (ста) контактов, выявление интереса к Продукции и установление не менее 50 (пятидесяти) контактов для каждого Получателя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Перевод коммерческого предложения каждого Получателя услуги, с русского на английский язык, не менее 142 (ста сорока двух) страниц формата А4 по 1800 знаков, не мен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ее 2х страниц на одну компанию;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Рассылка коммерческого предложения не менее 50 (пятидесяти) потенциальным Покупателям для каждого Получателя услуги;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Организация первичных переговоров (при помощи создания общих чатов в мессенджерах или переписки по электронной почте);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55"/>
        <w:numPr>
          <w:ilvl w:val="3"/>
          <w:numId w:val="11"/>
        </w:numPr>
        <w:ind w:left="0" w:right="-24" w:firstLine="709"/>
        <w:jc w:val="both"/>
        <w:widowControl w:val="off"/>
        <w:tabs>
          <w:tab w:val="left" w:pos="1276" w:leader="none"/>
          <w:tab w:val="left" w:pos="1560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онлайн конференций (ВКС) в количестве не менее 3 (трех) и длительностью не менее 10 минут, между Получателем услуги и потенциальными Покупателями и/или передача контактов для каждого Получателя услуги.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right="-24" w:firstLine="709"/>
        <w:jc w:val="both"/>
        <w:widowControl w:val="off"/>
        <w:tabs>
          <w:tab w:val="left" w:pos="1276" w:leader="none"/>
          <w:tab w:val="left" w:pos="1560" w:leader="none"/>
          <w:tab w:val="left" w:pos="1985" w:leader="none"/>
        </w:tabs>
        <w:rPr>
          <w:rFonts w:ascii="Times New Roman" w:hAnsi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numPr>
          <w:ilvl w:val="1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Оказание дополнительных услуг. 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Оператор проводит обучение по работе на Площадках, включая работу с Аккаунтом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с фильтрами баз данных на Площадках, по продвижению Аккаунта и Карточек товара, включая предоставление ответов на вопросы Получателей услуги посредством видео- или аудио-конференц-связи, продолжительностью не менее 45 минут для каждого Получателя услуги.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обеспечивает подписание не менее 1 (одного) внешнеэкономического договора и/или контракта между Покупателем и каждым Получателем услуги на реализацию Продукции на территории Целевой страны, включая: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адаптацию наименования Продукции (при необходимости);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подготовку и формирование внешнеэкономического договора и/или контракта;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- проведение правовой экспертизы внешнеэкономического договора и/или контракта;</w:t>
      </w:r>
      <w:r>
        <w:rPr>
          <w:rFonts w:ascii="Times New Roman" w:hAnsi="Times New Roman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перевод внешнеэкономического договора и/или контракта с русского на английский язык (от 5 до 15 страниц, формата</w:t>
      </w:r>
      <w:r>
        <w:rPr>
          <w:rFonts w:ascii="Times New Roman" w:hAnsi="Times New Roman"/>
          <w:sz w:val="24"/>
          <w:szCs w:val="24"/>
        </w:rPr>
        <w:t xml:space="preserve"> А4 по 1800 знаков).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оказывает помощь в заполнении документации для экспорта, оказывает содействие в подборе оптимальных логистических маршрутов.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 проводит инструктаж Получателей услуги по маркировке и упаковке товара в соответствии с требованиями Целевой страны.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2"/>
          <w:numId w:val="9"/>
        </w:numPr>
        <w:ind w:left="0" w:right="-24"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Оператор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оказывает консультирование Получателям услуги, в том числе: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консультации по оплате доставки товара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door-to-door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включая таможенное оформление;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консультации по вопросам определения суммы таможенных пошлин и прочих расходов на таможне, способах оплаты и процедуре прохождения таможенного оформления в Целевых странах.</w:t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tabs>
          <w:tab w:val="left" w:pos="1276" w:leader="none"/>
        </w:tabs>
        <w:rPr>
          <w:rFonts w:ascii="Times New Roman" w:hAnsi="Times New Roman"/>
          <w:b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1134" w:bottom="2127" w:left="1134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5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Georgia">
    <w:panose1 w:val="02040502050405020303"/>
  </w:font>
  <w:font w:name="Montserrat">
    <w:panose1 w:val="020B0604030504040204"/>
  </w:font>
  <w:font w:name="Arial">
    <w:panose1 w:val="020B0604020202020204"/>
  </w:font>
  <w:font w:name="Liberation Mono">
    <w:panose1 w:val="020704090202050204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tabs>
        <w:tab w:val="clear" w:pos="4677" w:leader="none"/>
        <w:tab w:val="left" w:pos="7619" w:leader="none"/>
        <w:tab w:val="clear" w:pos="9355" w:leader="none"/>
      </w:tabs>
    </w:pPr>
    <w:r>
      <w:tab/>
    </w:r>
    <w:r/>
  </w:p>
  <w:p>
    <w:pPr>
      <w:pStyle w:val="75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7" w:hanging="707"/>
      </w:pPr>
      <w:rPr>
        <w:rFonts w:hint="default" w:ascii="Times New Roman" w:hAnsi="Times New Roman" w:eastAsia="Times New Roman" w:cs="Times New Roman"/>
        <w:b/>
        <w:bCs/>
        <w:spacing w:val="-4"/>
        <w:sz w:val="24"/>
        <w:szCs w:val="24"/>
        <w:lang w:val="en-US" w:eastAsia="en-US" w:bidi="en-US"/>
      </w:rPr>
    </w:lvl>
    <w:lvl w:ilvl="1">
      <w:start w:val="1"/>
      <w:numFmt w:val="decimal"/>
      <w:isLgl w:val="false"/>
      <w:suff w:val="tab"/>
      <w:lvlText w:val="%1.%2."/>
      <w:lvlJc w:val="left"/>
      <w:pPr>
        <w:ind w:left="1558" w:hanging="707"/>
      </w:pPr>
      <w:rPr>
        <w:rFonts w:hint="default" w:ascii="Times New Roman" w:hAnsi="Times New Roman" w:eastAsia="Times New Roman" w:cs="Times New Roman"/>
        <w:b/>
        <w:bCs/>
        <w:color w:val="auto"/>
        <w:spacing w:val="-10"/>
        <w:sz w:val="24"/>
        <w:szCs w:val="24"/>
        <w:lang w:val="ru-RU" w:eastAsia="en-US" w:bidi="en-US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42" w:hanging="707"/>
      </w:pPr>
      <w:rPr>
        <w:rFonts w:hint="default" w:ascii="Times New Roman" w:hAnsi="Times New Roman" w:eastAsia="Times New Roman" w:cs="Times New Roman"/>
        <w:b w:val="0"/>
        <w:color w:val="auto"/>
        <w:spacing w:val="0"/>
        <w:sz w:val="24"/>
        <w:szCs w:val="24"/>
        <w:lang w:val="ru-RU" w:eastAsia="en-US" w:bidi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923" w:hanging="707"/>
      </w:pPr>
      <w:rPr>
        <w:rFonts w:hint="default"/>
        <w:lang w:val="en-US" w:eastAsia="en-US" w:bidi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974" w:hanging="707"/>
      </w:pPr>
      <w:rPr>
        <w:rFonts w:hint="default"/>
        <w:lang w:val="en-US" w:eastAsia="en-US" w:bidi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26" w:hanging="707"/>
      </w:pPr>
      <w:rPr>
        <w:rFonts w:hint="default"/>
        <w:lang w:val="en-US" w:eastAsia="en-US" w:bidi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077" w:hanging="707"/>
      </w:pPr>
      <w:rPr>
        <w:rFonts w:hint="default"/>
        <w:lang w:val="en-US" w:eastAsia="en-US" w:bidi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129" w:hanging="707"/>
      </w:pPr>
      <w:rPr>
        <w:rFonts w:hint="default"/>
        <w:lang w:val="en-US" w:eastAsia="en-US" w:bidi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180" w:hanging="707"/>
      </w:pPr>
      <w:rPr>
        <w:rFonts w:hint="default"/>
        <w:lang w:val="en-US" w:eastAsia="en-US" w:bidi="en-US"/>
      </w:rPr>
    </w:lvl>
  </w:abstractNum>
  <w:abstractNum w:abstractNumId="1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307" w:hanging="48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5158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8311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9162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373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22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435" w:hanging="1800"/>
      </w:pPr>
      <w:rPr>
        <w:rFonts w:hint="default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956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892" w:hanging="540"/>
      </w:pPr>
      <w:rPr>
        <w:rFonts w:hint="default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  <w:rPr>
        <w:b w:val="0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892" w:hanging="540"/>
      </w:pPr>
      <w:rPr>
        <w:rFonts w:hint="default"/>
      </w:rPr>
    </w:lvl>
    <w:lvl w:ilvl="2">
      <w:start w:val="7"/>
      <w:numFmt w:val="decimal"/>
      <w:isLgl w:val="false"/>
      <w:suff w:val="tab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4"/>
    <w:link w:val="69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04"/>
    <w:link w:val="69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04"/>
    <w:link w:val="70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04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04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04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7"/>
    <w:next w:val="69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7"/>
    <w:next w:val="69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7"/>
    <w:next w:val="69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04"/>
    <w:link w:val="708"/>
    <w:uiPriority w:val="10"/>
    <w:rPr>
      <w:sz w:val="48"/>
      <w:szCs w:val="48"/>
    </w:rPr>
  </w:style>
  <w:style w:type="character" w:styleId="37">
    <w:name w:val="Subtitle Char"/>
    <w:basedOn w:val="704"/>
    <w:link w:val="709"/>
    <w:uiPriority w:val="11"/>
    <w:rPr>
      <w:sz w:val="24"/>
      <w:szCs w:val="24"/>
    </w:rPr>
  </w:style>
  <w:style w:type="paragraph" w:styleId="38">
    <w:name w:val="Quote"/>
    <w:basedOn w:val="697"/>
    <w:next w:val="69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7"/>
    <w:next w:val="69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4"/>
    <w:link w:val="758"/>
    <w:uiPriority w:val="99"/>
  </w:style>
  <w:style w:type="character" w:styleId="45">
    <w:name w:val="Footer Char"/>
    <w:basedOn w:val="704"/>
    <w:link w:val="760"/>
    <w:uiPriority w:val="99"/>
  </w:style>
  <w:style w:type="paragraph" w:styleId="46">
    <w:name w:val="Caption"/>
    <w:basedOn w:val="697"/>
    <w:next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60"/>
    <w:uiPriority w:val="99"/>
  </w:style>
  <w:style w:type="table" w:styleId="48">
    <w:name w:val="Table Grid"/>
    <w:basedOn w:val="70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42"/>
    <w:uiPriority w:val="99"/>
    <w:rPr>
      <w:sz w:val="18"/>
    </w:rPr>
  </w:style>
  <w:style w:type="character" w:styleId="179">
    <w:name w:val="Endnote Text Char"/>
    <w:link w:val="739"/>
    <w:uiPriority w:val="99"/>
    <w:rPr>
      <w:sz w:val="20"/>
    </w:rPr>
  </w:style>
  <w:style w:type="paragraph" w:styleId="181">
    <w:name w:val="toc 1"/>
    <w:basedOn w:val="697"/>
    <w:next w:val="69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7"/>
    <w:next w:val="69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7"/>
    <w:next w:val="69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7"/>
    <w:next w:val="69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7"/>
    <w:next w:val="69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7"/>
    <w:next w:val="69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7"/>
    <w:next w:val="69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7"/>
    <w:next w:val="69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7"/>
    <w:next w:val="69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7"/>
    <w:next w:val="697"/>
    <w:uiPriority w:val="99"/>
    <w:unhideWhenUsed/>
    <w:pPr>
      <w:spacing w:after="0" w:afterAutospacing="0"/>
    </w:pPr>
  </w:style>
  <w:style w:type="paragraph" w:styleId="697" w:default="1">
    <w:name w:val="Normal"/>
  </w:style>
  <w:style w:type="paragraph" w:styleId="698">
    <w:name w:val="Heading 1"/>
    <w:basedOn w:val="697"/>
    <w:next w:val="697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99">
    <w:name w:val="Heading 2"/>
    <w:basedOn w:val="697"/>
    <w:next w:val="697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700">
    <w:name w:val="Heading 3"/>
    <w:basedOn w:val="697"/>
    <w:next w:val="697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701">
    <w:name w:val="Heading 4"/>
    <w:basedOn w:val="697"/>
    <w:next w:val="697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702">
    <w:name w:val="Heading 5"/>
    <w:basedOn w:val="697"/>
    <w:next w:val="697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703">
    <w:name w:val="Heading 6"/>
    <w:basedOn w:val="697"/>
    <w:next w:val="697"/>
    <w:pPr>
      <w:keepLines/>
      <w:keepNext/>
      <w:spacing w:before="200" w:after="40"/>
      <w:outlineLvl w:val="5"/>
    </w:pPr>
    <w:rPr>
      <w:b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table" w:styleId="707" w:customStyle="1">
    <w:name w:val="Normal Table0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08">
    <w:name w:val="Title"/>
    <w:basedOn w:val="697"/>
    <w:next w:val="697"/>
    <w:pPr>
      <w:keepLines/>
      <w:keepNext/>
      <w:spacing w:before="480" w:after="120"/>
    </w:pPr>
    <w:rPr>
      <w:b/>
      <w:sz w:val="72"/>
      <w:szCs w:val="72"/>
    </w:rPr>
  </w:style>
  <w:style w:type="paragraph" w:styleId="709">
    <w:name w:val="Subtitle"/>
    <w:basedOn w:val="697"/>
    <w:next w:val="697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710" w:customStyle="1">
    <w:name w:val="StGen0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11" w:customStyle="1">
    <w:name w:val="StGen1"/>
    <w:basedOn w:val="707"/>
    <w:tblPr>
      <w:tblStyleRowBandSize w:val="1"/>
      <w:tblStyleColBandSize w:val="1"/>
    </w:tblPr>
  </w:style>
  <w:style w:type="table" w:styleId="712" w:customStyle="1">
    <w:name w:val="StGen2"/>
    <w:basedOn w:val="707"/>
    <w:tblPr>
      <w:tblStyleRowBandSize w:val="1"/>
      <w:tblStyleColBandSize w:val="1"/>
    </w:tblPr>
  </w:style>
  <w:style w:type="table" w:styleId="713" w:customStyle="1">
    <w:name w:val="StGen3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14" w:customStyle="1">
    <w:name w:val="StGen4"/>
    <w:basedOn w:val="707"/>
    <w:tblPr>
      <w:tblStyleRowBandSize w:val="1"/>
      <w:tblStyleColBandSize w:val="1"/>
    </w:tblPr>
  </w:style>
  <w:style w:type="table" w:styleId="715" w:customStyle="1">
    <w:name w:val="StGen5"/>
    <w:basedOn w:val="707"/>
    <w:tblPr>
      <w:tblStyleRowBandSize w:val="1"/>
      <w:tblStyleColBandSize w:val="1"/>
    </w:tblPr>
  </w:style>
  <w:style w:type="table" w:styleId="716" w:customStyle="1">
    <w:name w:val="StGen6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17" w:customStyle="1">
    <w:name w:val="StGen7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18" w:customStyle="1">
    <w:name w:val="StGen8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719" w:customStyle="1">
    <w:name w:val="StGen9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720" w:customStyle="1">
    <w:name w:val="StGen10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21" w:customStyle="1">
    <w:name w:val="StGen11"/>
    <w:basedOn w:val="707"/>
    <w:tblPr>
      <w:tblStyleRowBandSize w:val="1"/>
      <w:tblStyleColBandSize w:val="1"/>
    </w:tblPr>
  </w:style>
  <w:style w:type="table" w:styleId="722" w:customStyle="1">
    <w:name w:val="StGen12"/>
    <w:basedOn w:val="707"/>
    <w:tblPr>
      <w:tblStyleRowBandSize w:val="1"/>
      <w:tblStyleColBandSize w:val="1"/>
    </w:tblPr>
  </w:style>
  <w:style w:type="table" w:styleId="723" w:customStyle="1">
    <w:name w:val="StGen13"/>
    <w:basedOn w:val="707"/>
    <w:tblPr>
      <w:tblStyleRowBandSize w:val="1"/>
      <w:tblStyleColBandSize w:val="1"/>
    </w:tblPr>
  </w:style>
  <w:style w:type="table" w:styleId="724" w:customStyle="1">
    <w:name w:val="StGen14"/>
    <w:basedOn w:val="707"/>
    <w:tblPr>
      <w:tblStyleRowBandSize w:val="1"/>
      <w:tblStyleColBandSize w:val="1"/>
    </w:tblPr>
  </w:style>
  <w:style w:type="table" w:styleId="725" w:customStyle="1">
    <w:name w:val="StGen15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726" w:customStyle="1">
    <w:name w:val="StGen16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727" w:customStyle="1">
    <w:name w:val="StGen17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728" w:customStyle="1">
    <w:name w:val="StGen18"/>
    <w:basedOn w:val="707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  <w:tcPr>
      <w:shd w:val="clear" w:color="auto" w:fill="ffffff"/>
    </w:tcPr>
  </w:style>
  <w:style w:type="table" w:styleId="729" w:customStyle="1">
    <w:name w:val="StGen19"/>
    <w:basedOn w:val="707"/>
    <w:tblPr>
      <w:tblStyleRowBandSize w:val="1"/>
      <w:tblStyleColBandSize w:val="1"/>
    </w:tblPr>
  </w:style>
  <w:style w:type="table" w:styleId="730" w:customStyle="1">
    <w:name w:val="StGen20"/>
    <w:basedOn w:val="707"/>
    <w:tblPr>
      <w:tblStyleRowBandSize w:val="1"/>
      <w:tblStyleColBandSize w:val="1"/>
    </w:tblPr>
  </w:style>
  <w:style w:type="table" w:styleId="731" w:customStyle="1">
    <w:name w:val="StGen21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732" w:customStyle="1">
    <w:name w:val="StGen22"/>
    <w:basedOn w:val="707"/>
    <w:tblPr>
      <w:tblStyleRowBandSize w:val="1"/>
      <w:tblStyleColBandSize w:val="1"/>
    </w:tblPr>
  </w:style>
  <w:style w:type="table" w:styleId="733" w:customStyle="1">
    <w:name w:val="StGen23"/>
    <w:basedOn w:val="707"/>
    <w:tblPr>
      <w:tblStyleRowBandSize w:val="1"/>
      <w:tblStyleColBandSize w:val="1"/>
    </w:tblPr>
  </w:style>
  <w:style w:type="table" w:styleId="734" w:customStyle="1">
    <w:name w:val="StGen24"/>
    <w:basedOn w:val="70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735" w:customStyle="1">
    <w:name w:val="align_center"/>
    <w:basedOn w:val="69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736">
    <w:name w:val="Emphasis"/>
    <w:basedOn w:val="704"/>
    <w:uiPriority w:val="20"/>
    <w:qFormat/>
    <w:rPr>
      <w:i/>
      <w:iCs/>
    </w:rPr>
  </w:style>
  <w:style w:type="character" w:styleId="737">
    <w:name w:val="Hyperlink"/>
    <w:basedOn w:val="704"/>
    <w:uiPriority w:val="99"/>
    <w:unhideWhenUsed/>
    <w:rPr>
      <w:color w:val="0000ff"/>
      <w:u w:val="single"/>
    </w:rPr>
  </w:style>
  <w:style w:type="paragraph" w:styleId="738">
    <w:name w:val="Normal (Web)"/>
    <w:basedOn w:val="697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739">
    <w:name w:val="endnote text"/>
    <w:basedOn w:val="697"/>
    <w:link w:val="740"/>
    <w:uiPriority w:val="99"/>
    <w:semiHidden/>
    <w:unhideWhenUsed/>
  </w:style>
  <w:style w:type="character" w:styleId="740" w:customStyle="1">
    <w:name w:val="Текст концевой сноски Знак"/>
    <w:basedOn w:val="704"/>
    <w:link w:val="739"/>
    <w:uiPriority w:val="99"/>
    <w:semiHidden/>
  </w:style>
  <w:style w:type="character" w:styleId="741">
    <w:name w:val="endnote reference"/>
    <w:basedOn w:val="704"/>
    <w:uiPriority w:val="99"/>
    <w:semiHidden/>
    <w:unhideWhenUsed/>
    <w:rPr>
      <w:vertAlign w:val="superscript"/>
    </w:rPr>
  </w:style>
  <w:style w:type="paragraph" w:styleId="742">
    <w:name w:val="footnote text"/>
    <w:basedOn w:val="697"/>
    <w:link w:val="743"/>
    <w:uiPriority w:val="99"/>
    <w:semiHidden/>
    <w:unhideWhenUsed/>
  </w:style>
  <w:style w:type="character" w:styleId="743" w:customStyle="1">
    <w:name w:val="Текст сноски Знак"/>
    <w:basedOn w:val="704"/>
    <w:link w:val="742"/>
    <w:uiPriority w:val="99"/>
    <w:semiHidden/>
  </w:style>
  <w:style w:type="character" w:styleId="744">
    <w:name w:val="footnote reference"/>
    <w:basedOn w:val="704"/>
    <w:uiPriority w:val="99"/>
    <w:semiHidden/>
    <w:unhideWhenUsed/>
    <w:rPr>
      <w:vertAlign w:val="superscript"/>
    </w:rPr>
  </w:style>
  <w:style w:type="paragraph" w:styleId="745">
    <w:name w:val="Balloon Text"/>
    <w:basedOn w:val="697"/>
    <w:link w:val="74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746" w:customStyle="1">
    <w:name w:val="Текст выноски Знак"/>
    <w:basedOn w:val="704"/>
    <w:link w:val="745"/>
    <w:uiPriority w:val="99"/>
    <w:semiHidden/>
    <w:rPr>
      <w:rFonts w:ascii="Segoe UI" w:hAnsi="Segoe UI" w:cs="Segoe UI"/>
      <w:sz w:val="18"/>
      <w:szCs w:val="18"/>
    </w:rPr>
  </w:style>
  <w:style w:type="paragraph" w:styleId="747" w:customStyle="1">
    <w:name w:val="paragraph"/>
    <w:basedOn w:val="69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748" w:customStyle="1">
    <w:name w:val="normaltextrun"/>
    <w:basedOn w:val="704"/>
  </w:style>
  <w:style w:type="character" w:styleId="749" w:customStyle="1">
    <w:name w:val="eop"/>
    <w:basedOn w:val="704"/>
  </w:style>
  <w:style w:type="character" w:styleId="750">
    <w:name w:val="annotation reference"/>
    <w:basedOn w:val="704"/>
    <w:uiPriority w:val="99"/>
    <w:semiHidden/>
    <w:unhideWhenUsed/>
    <w:rPr>
      <w:sz w:val="16"/>
      <w:szCs w:val="16"/>
    </w:rPr>
  </w:style>
  <w:style w:type="paragraph" w:styleId="751">
    <w:name w:val="annotation text"/>
    <w:basedOn w:val="697"/>
    <w:link w:val="752"/>
    <w:uiPriority w:val="99"/>
    <w:semiHidden/>
    <w:unhideWhenUsed/>
  </w:style>
  <w:style w:type="character" w:styleId="752" w:customStyle="1">
    <w:name w:val="Текст примечания Знак"/>
    <w:basedOn w:val="704"/>
    <w:link w:val="751"/>
    <w:uiPriority w:val="99"/>
    <w:semiHidden/>
  </w:style>
  <w:style w:type="paragraph" w:styleId="753">
    <w:name w:val="annotation subject"/>
    <w:basedOn w:val="751"/>
    <w:next w:val="751"/>
    <w:link w:val="754"/>
    <w:uiPriority w:val="99"/>
    <w:semiHidden/>
    <w:unhideWhenUsed/>
    <w:rPr>
      <w:b/>
      <w:bCs/>
    </w:rPr>
  </w:style>
  <w:style w:type="character" w:styleId="754" w:customStyle="1">
    <w:name w:val="Тема примечания Знак"/>
    <w:basedOn w:val="752"/>
    <w:link w:val="753"/>
    <w:uiPriority w:val="99"/>
    <w:semiHidden/>
    <w:rPr>
      <w:b/>
      <w:bCs/>
    </w:rPr>
  </w:style>
  <w:style w:type="paragraph" w:styleId="755">
    <w:name w:val="List Paragraph"/>
    <w:basedOn w:val="697"/>
    <w:link w:val="764"/>
    <w:uiPriority w:val="34"/>
    <w:qFormat/>
    <w:pPr>
      <w:contextualSpacing/>
      <w:ind w:left="720"/>
    </w:pPr>
  </w:style>
  <w:style w:type="paragraph" w:styleId="756">
    <w:name w:val="Body Text"/>
    <w:basedOn w:val="697"/>
    <w:link w:val="757"/>
    <w:pPr>
      <w:jc w:val="both"/>
    </w:pPr>
    <w:rPr>
      <w:rFonts w:ascii="Times New Roman" w:hAnsi="Times New Roman" w:eastAsia="Times New Roman" w:cs="Times New Roman"/>
      <w:sz w:val="26"/>
    </w:rPr>
  </w:style>
  <w:style w:type="character" w:styleId="757" w:customStyle="1">
    <w:name w:val="Основной текст Знак"/>
    <w:basedOn w:val="704"/>
    <w:link w:val="756"/>
    <w:rPr>
      <w:rFonts w:ascii="Times New Roman" w:hAnsi="Times New Roman" w:eastAsia="Times New Roman" w:cs="Times New Roman"/>
      <w:sz w:val="26"/>
    </w:rPr>
  </w:style>
  <w:style w:type="paragraph" w:styleId="758">
    <w:name w:val="Header"/>
    <w:basedOn w:val="697"/>
    <w:link w:val="75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59" w:customStyle="1">
    <w:name w:val="Верхний колонтитул Знак"/>
    <w:basedOn w:val="704"/>
    <w:link w:val="758"/>
    <w:uiPriority w:val="99"/>
  </w:style>
  <w:style w:type="paragraph" w:styleId="760">
    <w:name w:val="Footer"/>
    <w:basedOn w:val="697"/>
    <w:link w:val="76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61" w:customStyle="1">
    <w:name w:val="Нижний колонтитул Знак"/>
    <w:basedOn w:val="704"/>
    <w:link w:val="760"/>
    <w:uiPriority w:val="99"/>
  </w:style>
  <w:style w:type="paragraph" w:styleId="762">
    <w:name w:val="Body Text 2"/>
    <w:basedOn w:val="697"/>
    <w:link w:val="763"/>
    <w:uiPriority w:val="99"/>
    <w:semiHidden/>
    <w:unhideWhenUsed/>
    <w:pPr>
      <w:spacing w:after="120" w:line="480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763" w:customStyle="1">
    <w:name w:val="Основной текст 2 Знак"/>
    <w:basedOn w:val="704"/>
    <w:link w:val="762"/>
    <w:uiPriority w:val="99"/>
    <w:semiHidden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764" w:customStyle="1">
    <w:name w:val="Абзац списка Знак"/>
    <w:link w:val="755"/>
    <w:uiPriority w:val="34"/>
    <w:qFormat/>
  </w:style>
  <w:style w:type="character" w:styleId="765" w:customStyle="1">
    <w:name w:val="Body text (2)_"/>
    <w:basedOn w:val="70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766" w:customStyle="1">
    <w:name w:val="Body text (2)"/>
    <w:basedOn w:val="765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character" w:styleId="767" w:customStyle="1">
    <w:name w:val="Body text (2) + 10 pt;Bold"/>
    <w:basedOn w:val="76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lang w:val="ru-RU" w:eastAsia="ru-RU" w:bidi="ru-RU"/>
    </w:rPr>
  </w:style>
  <w:style w:type="paragraph" w:styleId="768" w:customStyle="1">
    <w:name w:val="Preformatted Text"/>
    <w:basedOn w:val="697"/>
    <w:pPr>
      <w:widowControl w:val="off"/>
    </w:pPr>
    <w:rPr>
      <w:rFonts w:ascii="Liberation Mono" w:hAnsi="Liberation Mono" w:eastAsia="Liberation Mono" w:cs="Liberation Mono"/>
      <w:lang w:val="en-US"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BC124-731F-410D-8D37-9D73AC3D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HP Inc.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Родариева Лариса Витальевна</dc:creator>
  <cp:lastModifiedBy>Рожненков Евгений Олегович</cp:lastModifiedBy>
  <cp:revision>15</cp:revision>
  <dcterms:created xsi:type="dcterms:W3CDTF">2024-03-26T10:40:00Z</dcterms:created>
  <dcterms:modified xsi:type="dcterms:W3CDTF">2024-04-16T09:46:46Z</dcterms:modified>
</cp:coreProperties>
</file>